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jc w:val="center"/>
      </w:pPr>
      <w:r>
        <w:rPr>
          <w:rStyle w:val="5"/>
          <w:rFonts w:hint="eastAsia" w:ascii="宋体" w:hAnsi="宋体" w:eastAsia="宋体" w:cs="宋体"/>
          <w:sz w:val="31"/>
          <w:szCs w:val="31"/>
          <w:lang w:eastAsia="zh-CN"/>
        </w:rPr>
        <w:t>聊城</w:t>
      </w:r>
      <w:r>
        <w:rPr>
          <w:rStyle w:val="5"/>
          <w:rFonts w:hint="eastAsia" w:ascii="宋体" w:hAnsi="宋体" w:eastAsia="宋体" w:cs="宋体"/>
          <w:sz w:val="31"/>
          <w:szCs w:val="31"/>
        </w:rPr>
        <w:t>大学</w:t>
      </w:r>
      <w:r>
        <w:rPr>
          <w:rStyle w:val="5"/>
          <w:rFonts w:hint="eastAsia" w:ascii="宋体" w:hAnsi="宋体" w:eastAsia="宋体" w:cs="宋体"/>
          <w:sz w:val="31"/>
          <w:szCs w:val="31"/>
          <w:lang w:eastAsia="zh-CN"/>
        </w:rPr>
        <w:t>东昌学院</w:t>
      </w:r>
      <w:r>
        <w:rPr>
          <w:rStyle w:val="5"/>
          <w:rFonts w:hint="eastAsia" w:ascii="宋体" w:hAnsi="宋体" w:eastAsia="宋体" w:cs="宋体"/>
          <w:sz w:val="31"/>
          <w:szCs w:val="31"/>
        </w:rPr>
        <w:t>2020届毕业生春季网络双选会邀请函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5"/>
          <w:rFonts w:hint="eastAsia" w:ascii="宋体" w:hAnsi="宋体" w:eastAsia="宋体" w:cs="宋体"/>
          <w:sz w:val="24"/>
          <w:szCs w:val="24"/>
        </w:rPr>
        <w:t>尊敬的用人单位、亲爱的毕业生同学：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您好！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为全面贯彻落实党中央、国务院和省委、省政府关于新型冠状病毒肺炎疫情防控工作的决策部署，根据上级部门和学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相关工作要求，在保护好毕业生生命安全和身体健康的同时，最大限度降低疫情对我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毕业生就业工作的影响，在打赢“疫情防控”战役中实现毕业生更充分和更高质量就业，我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将举办 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聊城</w:t>
      </w:r>
      <w:r>
        <w:rPr>
          <w:rFonts w:hint="eastAsia" w:ascii="宋体" w:hAnsi="宋体" w:eastAsia="宋体" w:cs="宋体"/>
          <w:sz w:val="24"/>
          <w:szCs w:val="24"/>
        </w:rPr>
        <w:t>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东昌学院</w:t>
      </w:r>
      <w:r>
        <w:rPr>
          <w:rFonts w:hint="eastAsia" w:ascii="宋体" w:hAnsi="宋体" w:eastAsia="宋体" w:cs="宋体"/>
          <w:sz w:val="24"/>
          <w:szCs w:val="24"/>
        </w:rPr>
        <w:t>2020届毕业生春季网络双选会”。现将有关事宜说明如下：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</w:pPr>
      <w:r>
        <w:rPr>
          <w:rStyle w:val="5"/>
          <w:rFonts w:hint="eastAsia" w:ascii="宋体" w:hAnsi="宋体" w:eastAsia="宋体" w:cs="宋体"/>
          <w:sz w:val="24"/>
          <w:szCs w:val="24"/>
        </w:rPr>
        <w:t>1.网络招聘会安排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rPr>
          <w:rStyle w:val="5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企业报名：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3月5日-3月20日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rPr>
          <w:rFonts w:hint="default" w:eastAsia="宋体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企业审核：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3月20日前审核完成（自3月5日起实时不间断审核）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</w:pPr>
      <w:r>
        <w:rPr>
          <w:rStyle w:val="5"/>
          <w:rFonts w:hint="eastAsia" w:ascii="宋体" w:hAnsi="宋体" w:eastAsia="宋体" w:cs="宋体"/>
          <w:sz w:val="24"/>
          <w:szCs w:val="24"/>
        </w:rPr>
        <w:t>学生参与：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3月10日-3月25日</w:t>
      </w:r>
      <w:r>
        <w:rPr>
          <w:rFonts w:hint="eastAsia" w:ascii="宋体" w:hAnsi="宋体" w:eastAsia="宋体" w:cs="宋体"/>
          <w:sz w:val="24"/>
          <w:szCs w:val="24"/>
        </w:rPr>
        <w:t>（学生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可对审核通过的用人单位持续进行</w:t>
      </w:r>
      <w:r>
        <w:rPr>
          <w:rFonts w:hint="eastAsia" w:ascii="宋体" w:hAnsi="宋体" w:eastAsia="宋体" w:cs="宋体"/>
          <w:sz w:val="24"/>
          <w:szCs w:val="24"/>
        </w:rPr>
        <w:t>线上投递简历）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</w:pPr>
      <w:r>
        <w:rPr>
          <w:rStyle w:val="5"/>
          <w:rFonts w:hint="eastAsia" w:ascii="宋体" w:hAnsi="宋体" w:eastAsia="宋体" w:cs="宋体"/>
          <w:sz w:val="24"/>
          <w:szCs w:val="24"/>
        </w:rPr>
        <w:t>2.企业参与指南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（1）本次双选会采用“小贤才校园招聘管理系统”网上报名，之前未在平台注册过的企业需先进行注册，后按照提示进行资料填写发布。参加网络双选会的用人单位，学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不收取任何费用；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（2）报名审核情况会通过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聊城</w:t>
      </w:r>
      <w:r>
        <w:rPr>
          <w:rFonts w:hint="eastAsia" w:ascii="宋体" w:hAnsi="宋体" w:eastAsia="宋体" w:cs="宋体"/>
          <w:sz w:val="24"/>
          <w:szCs w:val="24"/>
        </w:rPr>
        <w:t>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东昌学院</w:t>
      </w:r>
      <w:r>
        <w:rPr>
          <w:rFonts w:hint="eastAsia" w:ascii="宋体" w:hAnsi="宋体" w:eastAsia="宋体" w:cs="宋体"/>
          <w:sz w:val="24"/>
          <w:szCs w:val="24"/>
        </w:rPr>
        <w:t>就业网（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http://dcuzsb.xiaoxiancai.com.cn/index</w:t>
      </w:r>
      <w:r>
        <w:rPr>
          <w:rFonts w:hint="eastAsia" w:ascii="宋体" w:hAnsi="宋体" w:eastAsia="宋体" w:cs="宋体"/>
          <w:sz w:val="24"/>
          <w:szCs w:val="24"/>
        </w:rPr>
        <w:t>）和小贤才招聘平台进行发布，请随时关注；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jc w:val="both"/>
      </w:pPr>
      <w:r>
        <w:rPr>
          <w:rFonts w:hint="eastAsia" w:ascii="宋体" w:hAnsi="宋体" w:eastAsia="宋体" w:cs="宋体"/>
          <w:sz w:val="24"/>
          <w:szCs w:val="24"/>
        </w:rPr>
        <w:t>（3）为配合做好新型冠状病毒肺炎疫情防控工作，学生沟通与面试建议用人单位以互联网平台为媒介，在疫情防控期间拒绝线下的面试与洽谈。“小贤才校园招聘平台”将为企业开通线上实时沟通及在线面试功能，企业可通过平台及时与学生进行洽谈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注册/报名入口：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聊城大学东昌学院</w:t>
      </w:r>
      <w:r>
        <w:rPr>
          <w:rFonts w:hint="eastAsia" w:ascii="宋体" w:hAnsi="宋体" w:eastAsia="宋体" w:cs="宋体"/>
          <w:sz w:val="24"/>
          <w:szCs w:val="24"/>
        </w:rPr>
        <w:t xml:space="preserve">就业网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http://dcuzsb.xiaoxiancai.com.cn/index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3050" cy="2286000"/>
            <wp:effectExtent l="0" t="0" r="0" b="0"/>
            <wp:docPr id="10" name="图片 10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企业如有报名问题可咨询小贤才后台服务咨询电话或加入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聊城大学东昌学院</w:t>
      </w:r>
      <w:r>
        <w:rPr>
          <w:rFonts w:hint="eastAsia" w:ascii="宋体" w:hAnsi="宋体" w:eastAsia="宋体" w:cs="宋体"/>
          <w:sz w:val="24"/>
          <w:szCs w:val="24"/>
        </w:rPr>
        <w:t>网络双选会报名咨询群（请以“单位名称+联系人姓名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+个人联系方式</w:t>
      </w:r>
      <w:r>
        <w:rPr>
          <w:rFonts w:hint="eastAsia" w:ascii="宋体" w:hAnsi="宋体" w:eastAsia="宋体" w:cs="宋体"/>
          <w:sz w:val="24"/>
          <w:szCs w:val="24"/>
        </w:rPr>
        <w:t>”格式申请加入）。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66950" cy="2381250"/>
            <wp:effectExtent l="0" t="0" r="0" b="0"/>
            <wp:docPr id="2" name="图片 2" descr="聊城大学东昌学院网络双选会报名咨询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聊城大学东昌学院网络双选会报名咨询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</w:pPr>
      <w:r>
        <w:rPr>
          <w:rStyle w:val="5"/>
          <w:rFonts w:hint="eastAsia" w:ascii="宋体" w:hAnsi="宋体" w:eastAsia="宋体" w:cs="宋体"/>
          <w:sz w:val="24"/>
          <w:szCs w:val="24"/>
        </w:rPr>
        <w:t>3.学生参与指南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注册/报名入口：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聊城大学东昌学院</w:t>
      </w:r>
      <w:r>
        <w:rPr>
          <w:rFonts w:hint="eastAsia" w:ascii="宋体" w:hAnsi="宋体" w:eastAsia="宋体" w:cs="宋体"/>
          <w:sz w:val="24"/>
          <w:szCs w:val="24"/>
        </w:rPr>
        <w:t xml:space="preserve">就业网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instrText xml:space="preserve"> HYPERLINK "http://dcuzsb.xiaoxiancai.com.cn/index" </w:instrTex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fldChar w:fldCharType="separate"/>
      </w:r>
      <w:r>
        <w:rPr>
          <w:rStyle w:val="6"/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http://dcuzsb.xiaoxiancai.com.cn/index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毕业生进入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聊城</w:t>
      </w:r>
      <w:r>
        <w:rPr>
          <w:rFonts w:hint="eastAsia" w:ascii="宋体" w:hAnsi="宋体" w:eastAsia="宋体" w:cs="宋体"/>
          <w:sz w:val="24"/>
          <w:szCs w:val="24"/>
        </w:rPr>
        <w:t>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东昌学院</w:t>
      </w:r>
      <w:r>
        <w:rPr>
          <w:rFonts w:hint="eastAsia" w:ascii="宋体" w:hAnsi="宋体" w:eastAsia="宋体" w:cs="宋体"/>
          <w:sz w:val="24"/>
          <w:szCs w:val="24"/>
        </w:rPr>
        <w:t>就业网，点击右上角用户登录，选择学生入口，进入学生页面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点击【注册】按钮，开始注册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已注册过的同学可以直接登录）</w:t>
      </w:r>
      <w:r>
        <w:rPr>
          <w:rFonts w:hint="eastAsia" w:ascii="宋体" w:hAnsi="宋体" w:eastAsia="宋体" w:cs="宋体"/>
          <w:sz w:val="24"/>
          <w:szCs w:val="24"/>
        </w:rPr>
        <w:t>。注册后登录，进入登录页面，点击右上角姓名--个人中心，按照提示填写资料、完善简历并进行投递。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353050" cy="2286000"/>
            <wp:effectExtent l="0" t="0" r="0" b="0"/>
            <wp:docPr id="8" name="图片 8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毕业生也可关注“小贤才”微信公众号，进入公众号，点击用户登录—学生入口，进入学生页面。点击【个人中心】，进入学生登录页面，点击【注册】按钮，开始注册，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</w:t>
      </w:r>
      <w:r>
        <w:rPr>
          <w:rFonts w:hint="eastAsia" w:ascii="宋体" w:hAnsi="宋体" w:eastAsia="宋体" w:cs="宋体"/>
          <w:sz w:val="24"/>
          <w:szCs w:val="24"/>
        </w:rPr>
        <w:t>后按照提示填写资料、完善简历并进行投递。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jc w:val="center"/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联系方式：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联系人：桑孟新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曹娟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    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电话：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桑孟新：13869576517；曹娟：15864920859</w:t>
      </w:r>
    </w:p>
    <w:p>
      <w:pPr>
        <w:widowControl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电子邮箱：dcu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jyc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@126.com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jc w:val="center"/>
        <w:rPr>
          <w:rStyle w:val="5"/>
          <w:rFonts w:hint="eastAsia" w:ascii="宋体" w:hAnsi="宋体" w:eastAsia="宋体" w:cs="宋体"/>
          <w:sz w:val="30"/>
          <w:szCs w:val="30"/>
        </w:rPr>
      </w:pPr>
      <w:r>
        <w:rPr>
          <w:rStyle w:val="5"/>
          <w:rFonts w:hint="eastAsia" w:ascii="宋体" w:hAnsi="宋体" w:eastAsia="宋体" w:cs="宋体"/>
          <w:sz w:val="30"/>
          <w:szCs w:val="30"/>
          <w:lang w:eastAsia="zh-CN"/>
        </w:rPr>
        <w:t>聊城大学东昌学院</w:t>
      </w:r>
      <w:r>
        <w:rPr>
          <w:rStyle w:val="5"/>
          <w:rFonts w:hint="eastAsia" w:ascii="宋体" w:hAnsi="宋体" w:eastAsia="宋体" w:cs="宋体"/>
          <w:sz w:val="30"/>
          <w:szCs w:val="30"/>
        </w:rPr>
        <w:t>向参加春季校园网络双选会的用人单位表示诚挚的敬意！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学院简介</w:t>
      </w:r>
    </w:p>
    <w:p>
      <w:p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聊城大学东昌学院位于美丽的江北水城、运河古都--聊城市经济开发区，占地500余亩，净资产额5.5亿余元。学院于2002年4月经山东省教育厅批准设立，为聊城大学二级学院。2005年6月经教育部批准为独立设置的本科高校。2005年8月聊城市委、市政府研究决定，将具有百年办学历史的聊城教育学院、聊城师范学校并入聊城大学东昌学院，实现了优势互补，优化了资源配置。</w:t>
      </w:r>
    </w:p>
    <w:p>
      <w:pPr>
        <w:ind w:left="0" w:leftChars="0" w:firstLine="48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学院系全日制普通本科院校，面向社会招收普通本、专科学生，生源遍布全国28个省（市、自治区），在校生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899</w:t>
      </w:r>
      <w:r>
        <w:rPr>
          <w:rFonts w:hint="eastAsia" w:ascii="宋体" w:hAnsi="宋体" w:eastAsia="宋体" w:cs="宋体"/>
          <w:sz w:val="24"/>
          <w:szCs w:val="24"/>
        </w:rPr>
        <w:t>0余人。目前设有中文、经济管理、外国语、教育、数学与信息工程、影视传媒、化学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生物、机电工程、音乐、美术设计、体育教学部、马克思主义教学部等12个系（部）。现有36个本科专业和17个专科专业，以工科为主，涵盖经济学、教育学、文学、理学、工学、管理学、艺术学等学科门类。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left="0" w:leftChars="0" w:firstLine="480" w:firstLineChars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783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5"/>
        <w:gridCol w:w="1155"/>
        <w:gridCol w:w="2348"/>
        <w:gridCol w:w="1022"/>
        <w:gridCol w:w="176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0" w:hRule="atLeast"/>
          <w:jc w:val="center"/>
        </w:trPr>
        <w:tc>
          <w:tcPr>
            <w:tcW w:w="7833" w:type="dxa"/>
            <w:gridSpan w:val="5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outlineLvl w:val="0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bookmarkStart w:id="0" w:name="_Toc8601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聊城大学东昌学院20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ko-KR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届毕业生生源信息统计表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所在系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外国语系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英语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倪鹏0635-8520342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商务英语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汉语国际教育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朝鲜语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应用韩语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商务英语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王瑞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0635-8520351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周希芹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0635-8520332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传播学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文秘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汉语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经管系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刘章发0635-8520337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会计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5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影视传媒系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王冠男0635-8520362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数信系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张潇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0635-8520372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7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计算机科学与技术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机电系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寇雪莹0635-8520384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7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化生系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孙长峰0635-8520375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化学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食品质量与安全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药品生物技术及应用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美术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设计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张阳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0635-8520388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视觉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传达设计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动画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数字传媒艺术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5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影视动画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音乐系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徐宁0635-8520391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总计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1958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2833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专科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875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jc w:val="center"/>
        <w:rPr>
          <w:rStyle w:val="5"/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4D2D"/>
    <w:rsid w:val="13AC14D3"/>
    <w:rsid w:val="14BF5B67"/>
    <w:rsid w:val="19456CF3"/>
    <w:rsid w:val="1A7644C2"/>
    <w:rsid w:val="1D445B18"/>
    <w:rsid w:val="2A550DEF"/>
    <w:rsid w:val="3073183D"/>
    <w:rsid w:val="36B1035F"/>
    <w:rsid w:val="53FA6D4B"/>
    <w:rsid w:val="5DC74D2D"/>
    <w:rsid w:val="64BB347A"/>
    <w:rsid w:val="68C877A3"/>
    <w:rsid w:val="6D2D55F5"/>
    <w:rsid w:val="784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2020-02-28T02:29:00Z</dcterms:created>
  <dc:creator>Administrator</dc:creator>
  <cp:lastModifiedBy>花雨夜</cp:lastModifiedBy>
  <dcterms:modified xsi:type="dcterms:W3CDTF">2020-03-02T01:21:26Z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